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48.png" ContentType="image/png"/>
  <Override PartName="/word/media/rId30.png" ContentType="image/png"/>
  <Override PartName="/word/media/rId42.png" ContentType="image/png"/>
  <Override PartName="/word/media/rId43.png" ContentType="image/png"/>
  <Override PartName="/word/media/rId40.png" ContentType="image/png"/>
  <Override PartName="/word/media/rId35.png" ContentType="image/png"/>
  <Override PartName="/word/media/rId3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hyperlink r:id="rId21">
        <w:r>
          <w:rPr>
            <w:rStyle w:val="Hyperlink"/>
          </w:rPr>
          <w:t xml:space="preserve">M. Ross Alexander</w:t>
        </w:r>
      </w:hyperlink>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2">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3">
        <w:r>
          <w:rPr>
            <w:rStyle w:val="Hyperlink"/>
          </w:rPr>
          <w:t xml:space="preserve">Jakub Kašpar</w:t>
        </w:r>
      </w:hyperlink>
      <w:r>
        <w:rPr>
          <w:vertAlign w:val="superscript"/>
        </w:rPr>
        <w:t xml:space="preserve">15</w:t>
      </w:r>
      <w:r>
        <w:t xml:space="preserve">,</w:t>
      </w:r>
      <w:r>
        <w:t xml:space="preserve"> </w:t>
      </w:r>
      <w:hyperlink r:id="rId24">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5">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6">
        <w:r>
          <w:rPr>
            <w:rStyle w:val="Hyperlink"/>
          </w:rPr>
          <w:t xml:space="preserve">Alan J. Tepley</w:t>
        </w:r>
      </w:hyperlink>
      <w:r>
        <w:rPr>
          <w:vertAlign w:val="superscript"/>
        </w:rPr>
        <w:t xml:space="preserve">1,22</w:t>
      </w:r>
      <w:r>
        <w:t xml:space="preserve">,</w:t>
      </w:r>
      <w:r>
        <w:t xml:space="preserve"> </w:t>
      </w:r>
      <w:hyperlink r:id="rId27">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pStyle w:val="FirstParagraph"/>
      </w:pPr>
      <w:r>
        <w:t xml:space="preserve">** Current address: Decision and Infrastructure Sciences, Argonne National Laboratory; Lamont, IL.</w:t>
      </w:r>
    </w:p>
    <w:p>
      <w:pPr>
        <w:numPr>
          <w:ilvl w:val="0"/>
          <w:numId w:val="1002"/>
        </w:numPr>
      </w:pPr>
      <w:r>
        <w:t xml:space="preserve">Department of Geography &amp; Environmental Studies, University of New Mexico; Albuquerque, NM 87131 USA</w:t>
      </w:r>
    </w:p>
    <w:p>
      <w:pPr>
        <w:numPr>
          <w:ilvl w:val="0"/>
          <w:numId w:val="1002"/>
        </w:numPr>
      </w:pPr>
      <w:r>
        <w:t xml:space="preserve">Biology Department, Wilfrid Laurier University, 75 University Ave W, Waterloo, ON, N2L 3C5</w:t>
      </w:r>
    </w:p>
    <w:p>
      <w:pPr>
        <w:numPr>
          <w:ilvl w:val="0"/>
          <w:numId w:val="1002"/>
        </w:numPr>
      </w:pPr>
      <w:r>
        <w:t xml:space="preserve">School of Natural Resources, University of Nebraska-Lincoln, Lincoln, NE 68588-0118, USA</w:t>
      </w:r>
    </w:p>
    <w:p>
      <w:pPr>
        <w:numPr>
          <w:ilvl w:val="0"/>
          <w:numId w:val="1002"/>
        </w:numPr>
      </w:pPr>
      <w:r>
        <w:t xml:space="preserve">School of Ecosystem and Forest Sciences, University of Melbourne, Richmond VIC 3121, Australia</w:t>
      </w:r>
    </w:p>
    <w:p>
      <w:pPr>
        <w:numPr>
          <w:ilvl w:val="0"/>
          <w:numId w:val="1002"/>
        </w:numPr>
      </w:pPr>
      <w:r>
        <w:t xml:space="preserve">University of Alberta; Edmonton, Alberta, Canada</w:t>
      </w:r>
    </w:p>
    <w:p>
      <w:pPr>
        <w:numPr>
          <w:ilvl w:val="0"/>
          <w:numId w:val="1002"/>
        </w:numPr>
      </w:pPr>
      <w:r>
        <w:t xml:space="preserve">National Parks Wildlife and Plant Conservation Department, Chatuchak, Bangkok 10900, Thailand</w:t>
      </w:r>
    </w:p>
    <w:p>
      <w:pPr>
        <w:numPr>
          <w:ilvl w:val="0"/>
          <w:numId w:val="1002"/>
        </w:numPr>
      </w:pPr>
      <w:r>
        <w:t xml:space="preserve">Swiss Federal Institute for Forest, Snow and Landscape Research, CH-8903 Birmensdorf, Switzerland</w:t>
      </w:r>
    </w:p>
    <w:p>
      <w:pPr>
        <w:numPr>
          <w:ilvl w:val="0"/>
          <w:numId w:val="1002"/>
        </w:numPr>
      </w:pPr>
      <w:r>
        <w:t xml:space="preserve">Faculty of Forestry, University of British Columbia, Vancouver BC, Canada</w:t>
      </w:r>
    </w:p>
    <w:p>
      <w:pPr>
        <w:numPr>
          <w:ilvl w:val="0"/>
          <w:numId w:val="1002"/>
        </w:numPr>
      </w:pPr>
      <w:r>
        <w:t xml:space="preserve">Department of Forestry, Purdue University, West Lafayette, IN 47907, USA</w:t>
      </w:r>
    </w:p>
    <w:p>
      <w:pPr>
        <w:numPr>
          <w:ilvl w:val="0"/>
          <w:numId w:val="1002"/>
        </w:numPr>
      </w:pPr>
      <w:r>
        <w:t xml:space="preserve">Department of Forest Ecology, The Silva Tarouca Research Institute for Landscape and Ornamental Gardening, Lidická 25/27, 602 00 Brno, Czech Republic</w:t>
      </w:r>
    </w:p>
    <w:p>
      <w:pPr>
        <w:numPr>
          <w:ilvl w:val="0"/>
          <w:numId w:val="1002"/>
        </w:numPr>
      </w:pPr>
      <w:r>
        <w:t xml:space="preserve">S. J. &amp; Jessie E. Quinney College of Natural Resources and the Ecology Center, Utah State University, Logan, UT 84322, USA</w:t>
      </w:r>
    </w:p>
    <w:p>
      <w:pPr>
        <w:numPr>
          <w:ilvl w:val="0"/>
          <w:numId w:val="1002"/>
        </w:numPr>
      </w:pPr>
      <w:r>
        <w:t xml:space="preserve">U.S. Geological Survey, Fort Collins Science Center, New Mexico Landscapes Field Station, Los Alamos, NM 87544, USA</w:t>
      </w:r>
    </w:p>
    <w:p>
      <w:pPr>
        <w:numPr>
          <w:ilvl w:val="0"/>
          <w:numId w:val="1002"/>
        </w:numPr>
      </w:pPr>
      <w:r>
        <w:t xml:space="preserve">Department of Geography, Indiana University, Bloomington, Indiana, USA</w:t>
      </w:r>
    </w:p>
    <w:p>
      <w:pPr>
        <w:numPr>
          <w:ilvl w:val="0"/>
          <w:numId w:val="1002"/>
        </w:numPr>
      </w:pPr>
      <w:r>
        <w:t xml:space="preserve">Smithsonian Environmental Research Center, Edgewater, MD, USA</w:t>
      </w:r>
    </w:p>
    <w:p>
      <w:pPr>
        <w:numPr>
          <w:ilvl w:val="0"/>
          <w:numId w:val="1002"/>
        </w:numPr>
      </w:pPr>
      <w:r>
        <w:t xml:space="preserve">CIRAD, Montpellier, France</w:t>
      </w:r>
    </w:p>
    <w:p>
      <w:pPr>
        <w:numPr>
          <w:ilvl w:val="0"/>
          <w:numId w:val="1002"/>
        </w:numPr>
      </w:pPr>
      <w:r>
        <w:t xml:space="preserve">School of Biological Sciences, University of Nebraska-Lincoln, USA 68588</w:t>
      </w:r>
    </w:p>
    <w:p>
      <w:pPr>
        <w:numPr>
          <w:ilvl w:val="0"/>
          <w:numId w:val="1002"/>
        </w:numPr>
      </w:pPr>
      <w:r>
        <w:t xml:space="preserve">Center for Plant Science Innovation, University of Nebraska – Lincoln, USA 68588</w:t>
      </w:r>
    </w:p>
    <w:p>
      <w:pPr>
        <w:numPr>
          <w:ilvl w:val="0"/>
          <w:numId w:val="1002"/>
        </w:numPr>
      </w:pPr>
      <w:r>
        <w:t xml:space="preserve">Canadian Forest Service, Northern Forestry Centre, Edmonton, Alberta, Canada</w:t>
      </w:r>
    </w:p>
    <w:p>
      <w:pPr>
        <w:numPr>
          <w:ilvl w:val="0"/>
          <w:numId w:val="1002"/>
        </w:numPr>
      </w:pPr>
      <w:r>
        <w:t xml:space="preserve">Forest Ecology and Forest Management Group, Wageningen; Wageningen, The Netherlands</w:t>
      </w:r>
    </w:p>
    <w:p>
      <w:pPr>
        <w:pStyle w:val="FirstParagraph"/>
      </w:pPr>
      <w:r>
        <w:t xml:space="preserve">*corresponding author:</w:t>
      </w:r>
      <w:r>
        <w:t xml:space="preserve"> </w:t>
      </w:r>
      <w:hyperlink r:id="rId28">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9" w:name="Abstract"/>
    <w:p>
      <w:pPr>
        <w:pStyle w:val="Heading1"/>
      </w:pPr>
      <w:r>
        <w:t xml:space="preserve">Abstract</w:t>
      </w:r>
    </w:p>
    <w:p>
      <w:pPr>
        <w:pStyle w:val="FirstParagraph"/>
      </w:pPr>
      <w:r>
        <w:t xml:space="preserve">Tree rings provide a uniquely valuable long-term record for understanding how climate and other environmental drivers shape individual tree growth and forest productivity.</w:t>
      </w:r>
      <w:r>
        <w:t xml:space="preserve"> </w:t>
      </w:r>
      <w:r>
        <w:t xml:space="preserve">However, conventional tree-ring analysis methods are not designed to simultaneously account for the effects of climate, tree size, and other environmental drivers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declined over time for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9"/>
    <w:bookmarkStart w:id="31"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has changed through time</w:t>
      </w:r>
      <w:r>
        <w:t xml:space="preserve"> </w:t>
      </w:r>
      <w:r>
        <w:t xml:space="preserve">(Au et al., 2020; 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Tree rings also provide the long-term perspective critical to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anthropogenic changes, particularly climate change, and thereby reducing the enormous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 but JB really liked it):</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(Carrer, 2011; 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 Woodhouse, 1999)</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 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climatic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not the first focus for sampling.</w:t>
      </w:r>
      <w:r>
        <w:t xml:space="preserve"> </w:t>
      </w:r>
      <w:r>
        <w:t xml:space="preserve">Many worked around the non-linearity issues by sampling at sites with characteristics that result in trees being more climate-limited, though not all</w:t>
      </w:r>
      <w:r>
        <w:t xml:space="preserve"> </w:t>
      </w:r>
      <w:r>
        <w:t xml:space="preserve">(E. R. Cook, 1982)</w:t>
      </w:r>
      <w:r>
        <w:t xml:space="preserve">.</w:t>
      </w:r>
      <w:r>
        <w:t xml:space="preserve"> </w:t>
      </w:r>
      <w:r>
        <w:t xml:space="preserve">Importantly, traditional analysis methods are designed around first-order linear growth-climate relationships</w:t>
      </w:r>
      <w:r>
        <w:t xml:space="preserve"> </w:t>
      </w:r>
      <w:r>
        <w:t xml:space="preserve">(Fritts, 1976)</w:t>
      </w:r>
      <w:r>
        <w:t xml:space="preserve">.</w:t>
      </w:r>
      <w:r>
        <w:t xml:space="preserve"> </w:t>
      </w:r>
      <w:r>
        <w:rPr>
          <w:iCs/>
          <w:i/>
        </w:rPr>
        <w:t xml:space="preserve">Dendrochronological studies allowing for nonlinear or threshold responses of tree growth to climate are less common</w:t>
      </w:r>
      <w:r>
        <w:rPr>
          <w:iCs/>
          <w:i/>
        </w:rPr>
        <w:t xml:space="preserve"> </w:t>
      </w:r>
      <w:r>
        <w:rPr>
          <w:iCs/>
          <w:i/>
        </w:rPr>
        <w:t xml:space="preserve">(Cavin &amp; Jump, 2017; Edward R. Cook &amp; Johnson, 1989; Ljungqvist et al., 2020; Rollinson et al., 2021; Tolwinski-Ward et al., 2013; Tumajer et al., 2017; Woodhouse, 1999)</w:t>
      </w:r>
      <w:r>
        <w:rPr>
          <w:iCs/>
          <w:i/>
        </w:rPr>
        <w:t xml:space="preserve"> </w:t>
      </w:r>
      <w:r>
        <w:rPr>
          <w:bCs/>
          <w:b/>
          <w:iCs/>
          <w:i/>
        </w:rPr>
        <w:t xml:space="preserve">one could say these were a lot of citation for it to be uncommon. Perhaps make it more clear what aspects are less common?</w:t>
      </w:r>
      <w:r>
        <w:rPr>
          <w:iCs/>
          <w:i/>
        </w:rPr>
        <w:t xml:space="preserve">, and we therefore know little about the nonlinearities in tree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w:t>
      </w:r>
      <w:r>
        <w:t xml:space="preserve"> </w:t>
      </w:r>
      <w:r>
        <w:rPr>
          <w:iCs/>
          <w:i/>
        </w:rPr>
        <w:t xml:space="preserve">along with the influence of stand dynamics in closed-canopy forests</w:t>
      </w:r>
      <w:r>
        <w:rPr>
          <w:iCs/>
          <w:i/>
        </w:rPr>
        <w:t xml:space="preserve"> </w:t>
      </w:r>
      <w:r>
        <w:t xml:space="preserve">, is removed through detrending</w:t>
      </w:r>
      <w:r>
        <w:t xml:space="preserve"> </w:t>
      </w:r>
      <w:r>
        <w:t xml:space="preserve">(Edward R. Cook &amp; Peters, 1997)</w:t>
      </w:r>
      <w:r>
        <w:t xml:space="preserve">.</w:t>
      </w:r>
      <w:r>
        <w:t xml:space="preserve"> </w:t>
      </w:r>
      <w:r>
        <w:t xml:space="preserve">Moreover, many studies constrain sampling to only trees in canopy positions or those that appear to be old</w:t>
      </w:r>
      <w:r>
        <w:t xml:space="preserve"> </w:t>
      </w:r>
      <w:r>
        <w:t xml:space="preserve">(Fritts, 1976; Huckaby et al., 2003; Pederson, 2010)</w:t>
      </w:r>
      <w:r>
        <w:t xml:space="preserve">.</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drought sensitivity tends to increase with tree size</w:t>
      </w:r>
      <w:r>
        <w:t xml:space="preserve"> </w:t>
      </w:r>
      <w:r>
        <w:t xml:space="preserve">(Bennett et al., 2015; Gillerot et al., 2020; McGregor et al., 2020)</w:t>
      </w:r>
      <w:r>
        <w:t xml:space="preserve">, and responses to temperature can also vary with tree size or canopy position</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w:t>
      </w:r>
      <w:r>
        <w:t xml:space="preserve">concentrations,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(Belmecheri et al., 2021; Levesque et al., 2017; Mathias &amp; Thomas, 2018; Maxwell et al., 2019;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to ten forested sites spanning 52 degrees latitude,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(DRAFT hypothesis table– needs to be filled in and condensed/ cleaned up)</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3286276"/>
                    </a:xfrm>
                    <a:prstGeom prst="rect">
                      <a:avLst/>
                    </a:prstGeom>
                    <a:noFill/>
                    <a:ln w="9525">
                      <a:noFill/>
                      <a:headEnd/>
                      <a:tailEnd/>
                    </a:ln>
                  </pic:spPr>
                </pic:pic>
              </a:graphicData>
            </a:graphic>
          </wp:inline>
        </w:drawing>
      </w:r>
    </w:p>
    <w:bookmarkEnd w:id="31"/>
    <w:bookmarkStart w:id="39"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4" w:name="Data"/>
    <w:p>
      <w:pPr>
        <w:pStyle w:val="Heading2"/>
      </w:pPr>
      <w:r>
        <w:t xml:space="preserve">Data sources and preparation</w:t>
      </w:r>
    </w:p>
    <w:p>
      <w:pPr>
        <w:pStyle w:val="FirstParagraph"/>
      </w:pPr>
      <w:r>
        <w:t xml:space="preserve">We analyzed tree-ring data, most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sampled trees (Figs. S1-S10).</w:t>
      </w:r>
      <w:r>
        <w:t xml:space="preserve"> </w:t>
      </w:r>
      <w:r>
        <w:t xml:space="preserve">In using this diversity of data sources, we ensured that our approach could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2"/>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technical errors (e.g., labeling inconsistencies, obvious dating errors) that could not be resolved before finalizing the analysis.</w:t>
      </w:r>
      <w:r>
        <w:t xml:space="preserve"> </w:t>
      </w:r>
      <w:r>
        <w:t xml:space="preserve">We also excluded records with small sample size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for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included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applied allometric equations for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higher-resolution or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3">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4"/>
    <w:bookmarkStart w:id="38" w:name="Data"/>
    <w:p>
      <w:pPr>
        <w:pStyle w:val="Heading2"/>
      </w:pPr>
      <w:r>
        <w:t xml:space="preserve">Data Analysis</w:t>
      </w:r>
    </w:p>
    <w:p>
      <w:pPr>
        <w:pStyle w:val="FirstParagraph"/>
      </w:pPr>
      <w:r>
        <w:t xml:space="preserve">Data analysis consisted of two main steps: (1) identifying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the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5"/>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6"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functions</w:t>
      </w:r>
      <w:r>
        <w:t xml:space="preserve"> </w:t>
      </w:r>
      <w:r>
        <w:rPr>
          <w:iCs/>
          <w:i/>
        </w:rPr>
        <w:t xml:space="preserve">gam</w:t>
      </w:r>
      <w:r>
        <w:t xml:space="preserve"> </w:t>
      </w:r>
      <w:r>
        <w:t xml:space="preserve">and</w:t>
      </w:r>
      <w:r>
        <w:t xml:space="preserve"> </w:t>
      </w:r>
      <w:r>
        <w:rPr>
          <w:iCs/>
          <w:i/>
        </w:rPr>
        <w:t xml:space="preserve">s</w:t>
      </w:r>
      <w:r>
        <w:t xml:space="preserve"> </w:t>
      </w:r>
      <w:r>
        <w:t xml:space="preserve">in the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automatically selected by the</w:t>
      </w:r>
      <w:r>
        <w:t xml:space="preserve"> </w:t>
      </w:r>
      <w:r>
        <w:rPr>
          <w:iCs/>
          <w:i/>
        </w:rPr>
        <w:t xml:space="preserve">gam</w:t>
      </w:r>
      <w:r>
        <w:t xml:space="preserve"> </w:t>
      </w:r>
      <w:r>
        <w:t xml:space="preserve">function with generalized cross-validation (GCV).</w:t>
      </w:r>
      <w:r>
        <w:t xml:space="preserve"> </w:t>
      </w:r>
      <w:r>
        <w:t xml:space="preserve">We then used</w:t>
      </w:r>
      <w:r>
        <w:t xml:space="preserve"> </w:t>
      </w:r>
      <w:r>
        <w:rPr>
          <w:iCs/>
          <w:i/>
        </w:rPr>
        <w:t xml:space="preserve">climwin</w:t>
      </w:r>
      <w:r>
        <w:t xml:space="preserve"> </w:t>
      </w:r>
      <w:r>
        <w:t xml:space="preserve">to identify the climate variables that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within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selected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permafrost thaw, which limits access to soil moisture during summer months and drives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6"/>
    <w:bookmarkStart w:id="37"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w:t>
      </w:r>
      <w:r>
        <w:t xml:space="preserve"> </w:t>
      </w:r>
      <w:r>
        <w:t xml:space="preserve">(function</w:t>
      </w:r>
      <w:r>
        <w:t xml:space="preserve"> </w:t>
      </w:r>
      <w:r>
        <w:rPr>
          <w:iCs/>
          <w:i/>
        </w:rPr>
        <w:t xml:space="preserve">lme</w:t>
      </w:r>
      <w:r>
        <w:t xml:space="preserve"> </w:t>
      </w:r>
      <w:r>
        <w:t xml:space="preserve">in the R package</w:t>
      </w:r>
      <w:r>
        <w:t xml:space="preserve"> </w:t>
      </w:r>
      <w:r>
        <w:rPr>
          <w:iCs/>
          <w:i/>
        </w:rPr>
        <w:t xml:space="preserve">nlme</w:t>
      </w:r>
      <w:r>
        <w:t xml:space="preserve">, Pinheiro et al., 2021)</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yeaar were real, as opposed to an artifact of inherent covariation between DBH and yeaar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7"/>
    <w:bookmarkEnd w:id="38"/>
    <w:bookmarkEnd w:id="39"/>
    <w:bookmarkStart w:id="50" w:name="Results"/>
    <w:p>
      <w:pPr>
        <w:pStyle w:val="Heading1"/>
      </w:pPr>
      <w:r>
        <w:t xml:space="preserve">Results</w:t>
      </w:r>
    </w:p>
    <w:bookmarkStart w:id="41"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1"/>
    <w:bookmarkStart w:id="45"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eight of 20 cases, both the optimal climate variable and time window were identical across growth metrics (e.g., Fig. S19).</w:t>
      </w:r>
      <w:r>
        <w:t xml:space="preserve"> </w:t>
      </w:r>
      <w:r>
        <w:t xml:space="preserve">In nine cases,</w:t>
      </w:r>
      <w:r>
        <w:t xml:space="preserve"> </w:t>
      </w:r>
      <w:r>
        <w:rPr>
          <w:iCs/>
          <w:i/>
        </w:rPr>
        <w:t xml:space="preserve">climwin</w:t>
      </w:r>
      <w:r>
        <w:t xml:space="preserve"> </w:t>
      </w:r>
      <w:r>
        <w:t xml:space="preserve">identified the same climate variable and overlapping time windows (e.g., Fig. S20),</w:t>
      </w:r>
      <w:r>
        <w:t xml:space="preserve"> </w:t>
      </w:r>
      <w:r>
        <w:t xml:space="preserve">and in one case (at HKK) different variables (</w:t>
      </w:r>
      <m:oMath>
        <m:sSub>
          <m:e>
            <m:r>
              <m:t>T</m:t>
            </m:r>
          </m:e>
          <m:sub>
            <m:r>
              <m:t>m</m:t>
            </m:r>
            <m:r>
              <m:t>a</m:t>
            </m:r>
            <m:r>
              <m:t>x</m:t>
            </m:r>
          </m:sub>
        </m:sSub>
      </m:oMath>
      <w:r>
        <w:t xml:space="preserve"> </w:t>
      </w:r>
      <w:r>
        <w:t xml:space="preserve">and</w:t>
      </w:r>
      <w:r>
        <w:t xml:space="preserve"> </w:t>
      </w:r>
      <m:oMath>
        <m:sSub>
          <m:e>
            <m:r>
              <m:t>T</m:t>
            </m:r>
          </m:e>
          <m:sub>
            <m:r>
              <m:t>m</m:t>
            </m:r>
            <m:r>
              <m:t>e</m:t>
            </m:r>
            <m:r>
              <m:t>a</m:t>
            </m:r>
            <m:r>
              <m:t>n</m:t>
            </m:r>
          </m:sub>
        </m:sSub>
      </m:oMath>
      <w:r>
        <w:t xml:space="preserve">) were selected with overlapping time windows (Fig. S18).</w:t>
      </w:r>
      <w:r>
        <w:t xml:space="preserve"> </w:t>
      </w:r>
      <w:r>
        <w:t xml:space="preserve">In just two cases (both variable groups at HF, where climate had only weak effects and mixed responses among species in the final models),</w:t>
      </w:r>
      <w:r>
        <w:t xml:space="preserve"> </w:t>
      </w:r>
      <w:r>
        <w:rPr>
          <w:iCs/>
          <w:i/>
        </w:rPr>
        <w:t xml:space="preserve">climwin</w:t>
      </w:r>
      <w:r>
        <w:t xml:space="preserve"> </w:t>
      </w:r>
      <w:r>
        <w:t xml:space="preserve">identified completely different time windows and, for precipitation, different variables (PPT and PDF; Figs. S23-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t xml:space="preserve">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site,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six and three of the 10 sites, respectively, noting that PET was not available for two sites.</w:t>
      </w:r>
      <w:r>
        <w:t xml:space="preserve"> </w:t>
      </w:r>
      <m:oMath>
        <m:sSub>
          <m:e>
            <m:r>
              <m:t>T</m:t>
            </m:r>
          </m:e>
          <m:sub>
            <m:r>
              <m:t>m</m:t>
            </m:r>
            <m:r>
              <m:t>i</m:t>
            </m:r>
            <m:r>
              <m:t>n</m:t>
            </m:r>
          </m:sub>
        </m:sSub>
      </m:oMath>
      <w:r>
        <w:t xml:space="preserve"> </w:t>
      </w:r>
      <w:r>
        <w:t xml:space="preserve">was identified as the top driver at BCNM, where it’s effects were only marginally significant for one species (Fig. 3), and</w:t>
      </w:r>
      <w:r>
        <w:t xml:space="preserve"> </w:t>
      </w:r>
      <m:oMath>
        <m:sSub>
          <m:e>
            <m:r>
              <m:t>T</m:t>
            </m:r>
          </m:e>
          <m:sub>
            <m:r>
              <m:t>m</m:t>
            </m:r>
            <m:r>
              <m:t>e</m:t>
            </m:r>
            <m:r>
              <m:t>a</m:t>
            </m:r>
            <m:r>
              <m:t>n</m:t>
            </m:r>
          </m:sub>
        </m:sSub>
      </m:oMath>
      <w:r>
        <w:t xml:space="preserve"> </w:t>
      </w:r>
      <w:r>
        <w:t xml:space="preserve">was never selected as the top driver.</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4"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4"/>
    <w:bookmarkEnd w:id="45"/>
    <w:bookmarkStart w:id="47"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ZOF,</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ZOF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7"/>
    <w:bookmarkStart w:id="49"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9"/>
    <w:bookmarkEnd w:id="50"/>
    <w:bookmarkStart w:id="55" w:name="Discussion"/>
    <w:p>
      <w:pPr>
        <w:pStyle w:val="Heading1"/>
      </w:pPr>
      <w:r>
        <w:t xml:space="preserve">Discussion</w:t>
      </w:r>
    </w:p>
    <w:p>
      <w:pPr>
        <w:pStyle w:val="FirstParagraph"/>
      </w:pPr>
      <w:r>
        <w:t xml:space="preserve">The tree-ring analysis approach developed here allowed simultaneous consideration of the effects of primary climate drivers, tree size, and slowly changing environmental conditions on annual tree growth across multiple forest types and species (Fig. 1), yielding results that are consistent with those that would be obtained using established methods (Figs. 2, S11-S14; Table S5) but offering a more complete picture of how climate, tree size, and year have shaped tree growth at 10 globally distributed forest over the past 120 years.</w:t>
      </w:r>
    </w:p>
    <w:bookmarkStart w:id="51"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by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w:t>
      </w:r>
      <w:r>
        <w:rPr>
          <w:bCs/>
          <w:b/>
        </w:rPr>
        <w:t xml:space="preserve">REFS</w:t>
      </w:r>
      <w:r>
        <w:t xml:space="preserve">,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1"/>
    <w:bookmarkStart w:id="5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(Fig. 5) are more properly attributed to the effect of year than DBH.</w:t>
      </w:r>
    </w:p>
    <w:bookmarkEnd w:id="52"/>
    <w:bookmarkStart w:id="53" w:name="Changing"/>
    <w:p>
      <w:pPr>
        <w:pStyle w:val="Heading2"/>
      </w:pPr>
      <w:r>
        <w:t xml:space="preserve">Changing growth rates</w:t>
      </w:r>
    </w:p>
    <w:p>
      <w:pPr>
        <w:pStyle w:val="FirstParagraph"/>
      </w:pPr>
      <w:r>
        <w:rPr>
          <w:iCs/>
          <w:i/>
        </w:rPr>
        <w:t xml:space="preserve">Growth rates changed directionally for the majority (73-78%, depending on growth metric) of site-species combinations selected for analysis based on the sampling representation of DBH by yeaar (Fig. 6).</w:t>
      </w:r>
      <w:r>
        <w:t xml:space="preserve"> </w:t>
      </w:r>
      <w:r>
        <w:rPr>
          <w:iCs/>
          <w:i/>
        </w:rP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w:t>
      </w:r>
      <w:r>
        <w:rPr>
          <w:bCs/>
          <w:b/>
        </w:rPr>
        <w:t xml:space="preserve">EG: THESE SENTENCES (and the following) SOUND MORE LIKE RESULTS/ METHODS</w:t>
      </w:r>
      <w:r>
        <w:t xml:space="preserve">)</w:t>
      </w:r>
      <w:r>
        <w:t xml:space="preserve"> </w:t>
      </w:r>
      <w:r>
        <w:t xml:space="preserve">Indeed, in a comparative analysis of several methods commonly used to detect growth trends, an approach</w:t>
      </w:r>
      <w:r>
        <w:t xml:space="preserve"> </w:t>
      </w:r>
      <w:r>
        <w:rPr>
          <w:bCs/>
          <w:b/>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indirect effects of climate change,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rapid warming is thawing permafrost and altering hydrologic conditions</w:t>
      </w:r>
      <w:r>
        <w:t xml:space="preserve"> </w:t>
      </w:r>
      <w:r>
        <w:t xml:space="preserve">(Baltzer et al., 2014)</w:t>
      </w:r>
      <w:r>
        <w:t xml:space="preserve">,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indirect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increasing atmospheric CO</w:t>
      </w:r>
      <w:r>
        <w:rPr>
          <w:vertAlign w:val="subscript"/>
        </w:rPr>
        <w:t xml:space="preserve">2</w:t>
      </w:r>
      <w:r>
        <w:t xml:space="preserve"> </w:t>
      </w:r>
      <w:r>
        <w:t xml:space="preserve">concentration is</w:t>
      </w:r>
      <w:r>
        <w:t xml:space="preserve"> </w:t>
      </w:r>
      <w:r>
        <w:rPr>
          <w:iCs/>
          <w:i/>
        </w:rPr>
        <w:t xml:space="preserve">potentially</w:t>
      </w:r>
      <w:r>
        <w:t xml:space="preserve"> </w:t>
      </w:r>
      <w:r>
        <w:t xml:space="preserve">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3"/>
    <w:bookmarkStart w:id="54" w:name="Conclusions"/>
    <w:p>
      <w:pPr>
        <w:pStyle w:val="Heading2"/>
      </w:pPr>
      <w:r>
        <w:t xml:space="preserve">Conclusions</w:t>
      </w:r>
    </w:p>
    <w:p>
      <w:pPr>
        <w:pStyle w:val="FirstParagraph"/>
      </w:pPr>
      <w:r>
        <w:t xml:space="preserve">In this study, we present a novel robust approach that allows integrative analysis of factors that jointly influence tree growth (Table 1).</w:t>
      </w:r>
      <w:r>
        <w:t xml:space="preserve"> </w:t>
      </w:r>
      <w:r>
        <w:t xml:space="preserve">Specifically, it allows us to demonstrate that</w:t>
      </w:r>
      <w:r>
        <w:t xml:space="preserve"> </w:t>
      </w:r>
      <w:r>
        <w:t xml:space="preserve">(1) growth is generally simultaneously influenced by temperature and precipitation over different time windows,</w:t>
      </w:r>
      <w:r>
        <w:t xml:space="preserve"> </w:t>
      </w:r>
      <w:r>
        <w:t xml:space="preserve">(2) nonlinear climate responses and interactive effects of climate with DBH are common (Figs. 3 and 4, respectively),</w:t>
      </w:r>
      <w:r>
        <w:t xml:space="preserve"> </w:t>
      </w:r>
      <w:r>
        <w:t xml:space="preserve">(3) growth – expressed in any metric – almost universally varies with DBH (Fig. 5),</w:t>
      </w:r>
      <w:r>
        <w:t xml:space="preserve"> </w:t>
      </w:r>
      <w:r>
        <w:t xml:space="preserve">and (4)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(McDowell et al., 2020; Thom et al., 2017)</w:t>
      </w:r>
      <w:r>
        <w:t xml:space="preserve">, we expect that this approach will prove valuable to understanding drivers of tree growth and forest change.</w:t>
      </w:r>
    </w:p>
    <w:bookmarkEnd w:id="54"/>
    <w:bookmarkEnd w:id="55"/>
    <w:bookmarkStart w:id="56"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6"/>
    <w:bookmarkStart w:id="57"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8"/>
    <w:bookmarkStart w:id="59"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9"/>
    <w:bookmarkStart w:id="310" w:name="References"/>
    <w:p>
      <w:pPr>
        <w:pStyle w:val="Heading1"/>
      </w:pPr>
      <w:r>
        <w:t xml:space="preserve">References</w:t>
      </w:r>
    </w:p>
    <w:bookmarkStart w:id="309"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2">
        <w:r>
          <w:rPr>
            <w:rStyle w:val="Hyperlink"/>
          </w:rPr>
          <w:t xml:space="preserve">https://doi.org/10.1007/s00468-017-1629-0</w:t>
        </w:r>
      </w:hyperlink>
    </w:p>
    <w:bookmarkEnd w:id="63"/>
    <w:bookmarkStart w:id="65"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4">
        <w:r>
          <w:rPr>
            <w:rStyle w:val="Hyperlink"/>
          </w:rPr>
          <w:t xml:space="preserve">https://doi.org/10.1007/s00442-017-3879-3</w:t>
        </w:r>
      </w:hyperlink>
    </w:p>
    <w:bookmarkEnd w:id="65"/>
    <w:bookmarkStart w:id="67"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6">
        <w:r>
          <w:rPr>
            <w:rStyle w:val="Hyperlink"/>
          </w:rPr>
          <w:t xml:space="preserve">https://doi.org/10.1007/978-3-319-61669-8</w:t>
        </w:r>
      </w:hyperlink>
    </w:p>
    <w:bookmarkEnd w:id="67"/>
    <w:bookmarkStart w:id="69"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8">
        <w:r>
          <w:rPr>
            <w:rStyle w:val="Hyperlink"/>
          </w:rPr>
          <w:t xml:space="preserve">https://doi.org/10.5281/ZENODO.3958215</w:t>
        </w:r>
      </w:hyperlink>
    </w:p>
    <w:bookmarkEnd w:id="69"/>
    <w:bookmarkStart w:id="71"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70">
        <w:r>
          <w:rPr>
            <w:rStyle w:val="Hyperlink"/>
          </w:rPr>
          <w:t xml:space="preserve">https://doi.org/10.1111/gcb.12712</w:t>
        </w:r>
      </w:hyperlink>
    </w:p>
    <w:bookmarkEnd w:id="71"/>
    <w:bookmarkStart w:id="73"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2">
        <w:r>
          <w:rPr>
            <w:rStyle w:val="Hyperlink"/>
          </w:rPr>
          <w:t xml:space="preserve">https://doi.org/10.1111/1365-2435.12470</w:t>
        </w:r>
      </w:hyperlink>
    </w:p>
    <w:bookmarkEnd w:id="73"/>
    <w:bookmarkStart w:id="75"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74">
        <w:r>
          <w:rPr>
            <w:rStyle w:val="Hyperlink"/>
          </w:rPr>
          <w:t xml:space="preserve">https://doi.org/10.5194/bg-17-4173-2020</w:t>
        </w:r>
      </w:hyperlink>
    </w:p>
    <w:bookmarkEnd w:id="75"/>
    <w:bookmarkStart w:id="77" w:name="ref-au_demographic_2020"/>
    <w:p>
      <w:pPr>
        <w:pStyle w:val="Bibliography"/>
      </w:pPr>
      <w:r>
        <w:t xml:space="preserve">Au, T. F., Maxwell, J. T., Novick, K. A., Robeson, S. M., Warner, S. M., Lockwood, B. R., Phillips, R. P., Harley, G. L., Telewski, F. W., Therrell, M. D., &amp; Pederson, N. (2020). Demographic shifts in eastern</w:t>
      </w:r>
      <w:r>
        <w:t xml:space="preserve"> </w:t>
      </w:r>
      <w:r>
        <w:t xml:space="preserve">US</w:t>
      </w:r>
      <w:r>
        <w:t xml:space="preserve"> </w:t>
      </w:r>
      <w:r>
        <w:t xml:space="preserve">forests increase the impact of late-season drought on forest growth.</w:t>
      </w:r>
      <w:r>
        <w:t xml:space="preserve"> </w:t>
      </w:r>
      <w:r>
        <w:rPr>
          <w:iCs/>
          <w:i/>
        </w:rPr>
        <w:t xml:space="preserve">Ecography</w:t>
      </w:r>
      <w:r>
        <w:t xml:space="preserve">,</w:t>
      </w:r>
      <w:r>
        <w:t xml:space="preserve"> </w:t>
      </w:r>
      <w:r>
        <w:rPr>
          <w:iCs/>
          <w:i/>
        </w:rPr>
        <w:t xml:space="preserve">43</w:t>
      </w:r>
      <w:r>
        <w:t xml:space="preserve">(10), 1475–1486.</w:t>
      </w:r>
      <w:r>
        <w:t xml:space="preserve"> </w:t>
      </w:r>
      <w:hyperlink r:id="rId76">
        <w:r>
          <w:rPr>
            <w:rStyle w:val="Hyperlink"/>
          </w:rPr>
          <w:t xml:space="preserve">https://doi.org/10.1111/ecog.05055</w:t>
        </w:r>
      </w:hyperlink>
    </w:p>
    <w:bookmarkEnd w:id="77"/>
    <w:bookmarkStart w:id="7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8">
        <w:r>
          <w:rPr>
            <w:rStyle w:val="Hyperlink"/>
          </w:rPr>
          <w:t xml:space="preserve">https://doi.org/10.1016/j.quascirev.2018.07.009</w:t>
        </w:r>
      </w:hyperlink>
    </w:p>
    <w:bookmarkEnd w:id="79"/>
    <w:bookmarkStart w:id="8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80">
        <w:r>
          <w:rPr>
            <w:rStyle w:val="Hyperlink"/>
          </w:rPr>
          <w:t xml:space="preserve">https://doi.org/10.1126/sciadv.aat4313</w:t>
        </w:r>
      </w:hyperlink>
    </w:p>
    <w:bookmarkEnd w:id="81"/>
    <w:bookmarkStart w:id="83" w:name="ref-baltzer_forests_2014"/>
    <w:p>
      <w:pPr>
        <w:pStyle w:val="Bibliography"/>
      </w:pPr>
      <w:r>
        <w:t xml:space="preserve">Baltzer, J. L., Veness, T., Chasmer, L. E., Sniderhan, A. E., &amp; Quinton, W. L. (2014). Forests on thawing permafrost: Fragmentation, edge effects, and net forest loss.</w:t>
      </w:r>
      <w:r>
        <w:t xml:space="preserve"> </w:t>
      </w:r>
      <w:r>
        <w:rPr>
          <w:iCs/>
          <w:i/>
        </w:rPr>
        <w:t xml:space="preserve">Global Change Biology</w:t>
      </w:r>
      <w:r>
        <w:t xml:space="preserve">,</w:t>
      </w:r>
      <w:r>
        <w:t xml:space="preserve"> </w:t>
      </w:r>
      <w:r>
        <w:rPr>
          <w:iCs/>
          <w:i/>
        </w:rPr>
        <w:t xml:space="preserve">20</w:t>
      </w:r>
      <w:r>
        <w:t xml:space="preserve">(3), 824–834.</w:t>
      </w:r>
      <w:r>
        <w:t xml:space="preserve"> </w:t>
      </w:r>
      <w:hyperlink r:id="rId82">
        <w:r>
          <w:rPr>
            <w:rStyle w:val="Hyperlink"/>
          </w:rPr>
          <w:t xml:space="preserve">https://doi.org/10.1111/gcb.12349</w:t>
        </w:r>
      </w:hyperlink>
    </w:p>
    <w:bookmarkEnd w:id="83"/>
    <w:bookmarkStart w:id="84"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84"/>
    <w:bookmarkStart w:id="86"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85">
        <w:r>
          <w:rPr>
            <w:rStyle w:val="Hyperlink"/>
          </w:rPr>
          <w:t xml:space="preserve">https://doi.org/10.1016/j.agrformet.2012.10.010</w:t>
        </w:r>
      </w:hyperlink>
    </w:p>
    <w:bookmarkEnd w:id="86"/>
    <w:bookmarkStart w:id="88"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87">
        <w:r>
          <w:rPr>
            <w:rStyle w:val="Hyperlink"/>
          </w:rPr>
          <w:t xml:space="preserve">https://doi.org/10.1111/gcb.15491</w:t>
        </w:r>
      </w:hyperlink>
    </w:p>
    <w:bookmarkEnd w:id="88"/>
    <w:bookmarkStart w:id="90"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9">
        <w:r>
          <w:rPr>
            <w:rStyle w:val="Hyperlink"/>
          </w:rPr>
          <w:t xml:space="preserve">https://doi.org/10.1038/nplants.2015.139</w:t>
        </w:r>
      </w:hyperlink>
    </w:p>
    <w:bookmarkEnd w:id="90"/>
    <w:bookmarkStart w:id="92"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91">
        <w:r>
          <w:rPr>
            <w:rStyle w:val="Hyperlink"/>
          </w:rPr>
          <w:t xml:space="preserve">https://doi.org/10.3959/2008-6.1</w:t>
        </w:r>
      </w:hyperlink>
    </w:p>
    <w:bookmarkEnd w:id="92"/>
    <w:bookmarkStart w:id="94"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93">
        <w:r>
          <w:rPr>
            <w:rStyle w:val="Hyperlink"/>
          </w:rPr>
          <w:t xml:space="preserve">https://www.ncdc.noaa.gov/paleo-search/study/31995</w:t>
        </w:r>
      </w:hyperlink>
    </w:p>
    <w:bookmarkEnd w:id="94"/>
    <w:bookmarkStart w:id="96"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95">
        <w:r>
          <w:rPr>
            <w:rStyle w:val="Hyperlink"/>
          </w:rPr>
          <w:t xml:space="preserve">https://www.ncdc.noaa.gov/paleo-search/study/31996</w:t>
        </w:r>
      </w:hyperlink>
    </w:p>
    <w:bookmarkEnd w:id="96"/>
    <w:bookmarkStart w:id="98"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7">
        <w:r>
          <w:rPr>
            <w:rStyle w:val="Hyperlink"/>
          </w:rPr>
          <w:t xml:space="preserve">https://www.ncdc.noaa.gov/paleo-search/study/31997</w:t>
        </w:r>
      </w:hyperlink>
    </w:p>
    <w:bookmarkEnd w:id="98"/>
    <w:bookmarkStart w:id="100"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9">
        <w:r>
          <w:rPr>
            <w:rStyle w:val="Hyperlink"/>
          </w:rPr>
          <w:t xml:space="preserve">https://doi.org/10.1016/j.tplants.2012.08.005</w:t>
        </w:r>
      </w:hyperlink>
    </w:p>
    <w:bookmarkEnd w:id="100"/>
    <w:bookmarkStart w:id="102"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101">
        <w:r>
          <w:rPr>
            <w:rStyle w:val="Hyperlink"/>
          </w:rPr>
          <w:t xml:space="preserve">https://doi.org/10.1078/1125-7865-00017</w:t>
        </w:r>
      </w:hyperlink>
    </w:p>
    <w:bookmarkEnd w:id="102"/>
    <w:bookmarkStart w:id="104"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103">
        <w:r>
          <w:rPr>
            <w:rStyle w:val="Hyperlink"/>
          </w:rPr>
          <w:t xml:space="preserve">https://doi.org/10.1029/2011GB004143</w:t>
        </w:r>
      </w:hyperlink>
    </w:p>
    <w:bookmarkEnd w:id="104"/>
    <w:bookmarkStart w:id="106"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105">
        <w:r>
          <w:rPr>
            <w:rStyle w:val="Hyperlink"/>
          </w:rPr>
          <w:t xml:space="preserve">https://doi.org/10.1111/gcb.13410</w:t>
        </w:r>
      </w:hyperlink>
    </w:p>
    <w:bookmarkEnd w:id="106"/>
    <w:bookmarkStart w:id="108"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7">
        <w:r>
          <w:rPr>
            <w:rStyle w:val="Hyperlink"/>
          </w:rPr>
          <w:t xml:space="preserve">https://doi.org/10.1139/cjfr-2018-0206</w:t>
        </w:r>
      </w:hyperlink>
    </w:p>
    <w:bookmarkEnd w:id="108"/>
    <w:bookmarkStart w:id="110"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9">
        <w:r>
          <w:rPr>
            <w:rStyle w:val="Hyperlink"/>
          </w:rPr>
          <w:t xml:space="preserve">https://doi.org/10.1126/science.1197175</w:t>
        </w:r>
      </w:hyperlink>
    </w:p>
    <w:bookmarkEnd w:id="110"/>
    <w:bookmarkStart w:id="11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11">
        <w:r>
          <w:rPr>
            <w:rStyle w:val="Hyperlink"/>
          </w:rPr>
          <w:t xml:space="preserve">https://doi.org/10.1111/gcb.13535</w:t>
        </w:r>
      </w:hyperlink>
    </w:p>
    <w:bookmarkEnd w:id="112"/>
    <w:bookmarkStart w:id="114" w:name="ref-carrer_individualistic_2011"/>
    <w:p>
      <w:pPr>
        <w:pStyle w:val="Bibliography"/>
      </w:pPr>
      <w:r>
        <w:t xml:space="preserve">Carrer, M. (2011). Individualistic and</w:t>
      </w:r>
      <w:r>
        <w:t xml:space="preserve"> </w:t>
      </w:r>
      <w:r>
        <w:t xml:space="preserve">Time</w:t>
      </w:r>
      <w:r>
        <w:t xml:space="preserve">-</w:t>
      </w:r>
      <w:r>
        <w:t xml:space="preserve">Varying Tree</w:t>
      </w:r>
      <w:r>
        <w:t xml:space="preserve">-</w:t>
      </w:r>
      <w:r>
        <w:t xml:space="preserve">Ring Growth</w:t>
      </w:r>
      <w:r>
        <w:t xml:space="preserve"> </w:t>
      </w:r>
      <w:r>
        <w:t xml:space="preserve">to</w:t>
      </w:r>
      <w:r>
        <w:t xml:space="preserve"> </w:t>
      </w:r>
      <w:r>
        <w:t xml:space="preserve">Climate Sensitivity</w:t>
      </w:r>
      <w:r>
        <w:t xml:space="preserve">.</w:t>
      </w:r>
      <w:r>
        <w:t xml:space="preserve"> </w:t>
      </w:r>
      <w:r>
        <w:rPr>
          <w:iCs/>
          <w:i/>
        </w:rPr>
        <w:t xml:space="preserve">PLOS ONE</w:t>
      </w:r>
      <w:r>
        <w:t xml:space="preserve">,</w:t>
      </w:r>
      <w:r>
        <w:t xml:space="preserve"> </w:t>
      </w:r>
      <w:r>
        <w:rPr>
          <w:iCs/>
          <w:i/>
        </w:rPr>
        <w:t xml:space="preserve">6</w:t>
      </w:r>
      <w:r>
        <w:t xml:space="preserve">(7), e22813.</w:t>
      </w:r>
      <w:r>
        <w:t xml:space="preserve"> </w:t>
      </w:r>
      <w:hyperlink r:id="rId113">
        <w:r>
          <w:rPr>
            <w:rStyle w:val="Hyperlink"/>
          </w:rPr>
          <w:t xml:space="preserve">https://doi.org/10.1371/journal.pone.0022813</w:t>
        </w:r>
      </w:hyperlink>
    </w:p>
    <w:bookmarkEnd w:id="114"/>
    <w:bookmarkStart w:id="116"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15">
        <w:r>
          <w:rPr>
            <w:rStyle w:val="Hyperlink"/>
          </w:rPr>
          <w:t xml:space="preserve">https://doi.org/10.1111/gcb.13366</w:t>
        </w:r>
      </w:hyperlink>
    </w:p>
    <w:bookmarkEnd w:id="116"/>
    <w:bookmarkStart w:id="118"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17">
        <w:r>
          <w:rPr>
            <w:rStyle w:val="Hyperlink"/>
          </w:rPr>
          <w:t xml:space="preserve">https://doi.org/10.1111/ele.12650</w:t>
        </w:r>
      </w:hyperlink>
    </w:p>
    <w:bookmarkEnd w:id="118"/>
    <w:bookmarkStart w:id="120"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9">
        <w:r>
          <w:rPr>
            <w:rStyle w:val="Hyperlink"/>
          </w:rPr>
          <w:t xml:space="preserve">https://doi.org/10.1016/S0378-1127(98)00242-4</w:t>
        </w:r>
      </w:hyperlink>
    </w:p>
    <w:bookmarkEnd w:id="120"/>
    <w:bookmarkStart w:id="122" w:name="ref-cook_treering_1982"/>
    <w:p>
      <w:pPr>
        <w:pStyle w:val="Bibliography"/>
      </w:pPr>
      <w:r>
        <w:t xml:space="preserve">Cook, E. R. (1982). Tree-ring data networks: comment. In M. K. Hughes, P. M. Kelly, J. R. Pilcher, &amp; V. C. LaMarche Jr. (Eds.),</w:t>
      </w:r>
      <w:r>
        <w:t xml:space="preserve"> </w:t>
      </w:r>
      <w:r>
        <w:rPr>
          <w:iCs/>
          <w:i/>
        </w:rPr>
        <w:t xml:space="preserve">Climate from</w:t>
      </w:r>
      <w:r>
        <w:rPr>
          <w:iCs/>
          <w:i/>
        </w:rPr>
        <w:t xml:space="preserve"> </w:t>
      </w:r>
      <w:r>
        <w:rPr>
          <w:iCs/>
          <w:i/>
        </w:rPr>
        <w:t xml:space="preserve">Tree Rings</w:t>
      </w:r>
      <w:r>
        <w:t xml:space="preserve"> </w:t>
      </w:r>
      <w:r>
        <w:t xml:space="preserve">(First, pp. 1–31).</w:t>
      </w:r>
      <w:r>
        <w:t xml:space="preserve"> </w:t>
      </w:r>
      <w:r>
        <w:t xml:space="preserve">Cambridge University Press</w:t>
      </w:r>
      <w:r>
        <w:t xml:space="preserve">.</w:t>
      </w:r>
      <w:r>
        <w:t xml:space="preserve"> </w:t>
      </w:r>
      <w:hyperlink r:id="rId121">
        <w:r>
          <w:rPr>
            <w:rStyle w:val="Hyperlink"/>
          </w:rPr>
          <w:t xml:space="preserve">https://doi.org/10.1017/CBO9780511760006.002</w:t>
        </w:r>
      </w:hyperlink>
    </w:p>
    <w:bookmarkEnd w:id="122"/>
    <w:bookmarkStart w:id="124" w:name="ref-cook_climate_1989"/>
    <w:p>
      <w:pPr>
        <w:pStyle w:val="Bibliography"/>
      </w:pPr>
      <w:r>
        <w:t xml:space="preserve">Cook, Edward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23">
        <w:r>
          <w:rPr>
            <w:rStyle w:val="Hyperlink"/>
          </w:rPr>
          <w:t xml:space="preserve">https://doi.org/10.1007/BF00282374</w:t>
        </w:r>
      </w:hyperlink>
    </w:p>
    <w:bookmarkEnd w:id="124"/>
    <w:bookmarkStart w:id="126" w:name="ref-cook_calculating_1997"/>
    <w:p>
      <w:pPr>
        <w:pStyle w:val="Bibliography"/>
      </w:pPr>
      <w:r>
        <w:t xml:space="preserve">Cook, Edward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25">
        <w:r>
          <w:rPr>
            <w:rStyle w:val="Hyperlink"/>
          </w:rPr>
          <w:t xml:space="preserve">https://doi.org/10.1177/095968369700700314</w:t>
        </w:r>
      </w:hyperlink>
    </w:p>
    <w:bookmarkEnd w:id="126"/>
    <w:bookmarkStart w:id="128"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27">
        <w:r>
          <w:rPr>
            <w:rStyle w:val="Hyperlink"/>
          </w:rPr>
          <w:t xml:space="preserve">https://doi.org/10.1016/j.biocon.2020.108907</w:t>
        </w:r>
      </w:hyperlink>
    </w:p>
    <w:bookmarkEnd w:id="128"/>
    <w:bookmarkStart w:id="130"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29">
        <w:r>
          <w:rPr>
            <w:rStyle w:val="Hyperlink"/>
          </w:rPr>
          <w:t xml:space="preserve">https://doi.org/10.1016/j.foreco.2009.08.009</w:t>
        </w:r>
      </w:hyperlink>
    </w:p>
    <w:bookmarkEnd w:id="130"/>
    <w:bookmarkStart w:id="13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31">
        <w:r>
          <w:rPr>
            <w:rStyle w:val="Hyperlink"/>
          </w:rPr>
          <w:t xml:space="preserve">https://doi.org/10.1111/1365-2745.13569</w:t>
        </w:r>
      </w:hyperlink>
    </w:p>
    <w:bookmarkEnd w:id="132"/>
    <w:bookmarkStart w:id="13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33">
        <w:r>
          <w:rPr>
            <w:rStyle w:val="Hyperlink"/>
          </w:rPr>
          <w:t xml:space="preserve">https://doi.org/10.1038/s41467-020-14300-5</w:t>
        </w:r>
      </w:hyperlink>
    </w:p>
    <w:bookmarkEnd w:id="134"/>
    <w:bookmarkStart w:id="136"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35">
        <w:r>
          <w:rPr>
            <w:rStyle w:val="Hyperlink"/>
          </w:rPr>
          <w:t xml:space="preserve">https://doi.org/10.1002/ecs2.1454</w:t>
        </w:r>
      </w:hyperlink>
    </w:p>
    <w:bookmarkEnd w:id="136"/>
    <w:bookmarkStart w:id="138"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7">
        <w:r>
          <w:rPr>
            <w:rStyle w:val="Hyperlink"/>
          </w:rPr>
          <w:t xml:space="preserve">https://doi.org/10.1016/j.foreco.2008.10.014</w:t>
        </w:r>
      </w:hyperlink>
    </w:p>
    <w:bookmarkEnd w:id="138"/>
    <w:bookmarkStart w:id="140"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39">
        <w:r>
          <w:rPr>
            <w:rStyle w:val="Hyperlink"/>
          </w:rPr>
          <w:t xml:space="preserve">https://doi.org/10.1126/science.1066360</w:t>
        </w:r>
      </w:hyperlink>
    </w:p>
    <w:bookmarkEnd w:id="140"/>
    <w:bookmarkStart w:id="142"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41">
        <w:r>
          <w:rPr>
            <w:rStyle w:val="Hyperlink"/>
          </w:rPr>
          <w:t xml:space="preserve">https://doi.org/10.1007/s10584-009-9594-2</w:t>
        </w:r>
      </w:hyperlink>
    </w:p>
    <w:bookmarkEnd w:id="142"/>
    <w:bookmarkStart w:id="144"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43">
        <w:r>
          <w:rPr>
            <w:rStyle w:val="Hyperlink"/>
          </w:rPr>
          <w:t xml:space="preserve">https://doi.org/10.1002/ecs2.1889</w:t>
        </w:r>
      </w:hyperlink>
    </w:p>
    <w:bookmarkEnd w:id="144"/>
    <w:bookmarkStart w:id="146"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45">
        <w:r>
          <w:rPr>
            <w:rStyle w:val="Hyperlink"/>
          </w:rPr>
          <w:t xml:space="preserve">https://doi.org/10.1002/ecm.1423</w:t>
        </w:r>
      </w:hyperlink>
    </w:p>
    <w:bookmarkEnd w:id="146"/>
    <w:bookmarkStart w:id="148"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47">
        <w:r>
          <w:rPr>
            <w:rStyle w:val="Hyperlink"/>
          </w:rPr>
          <w:t xml:space="preserve">https://doi.org/10.1016/j.foreco.2020.118717</w:t>
        </w:r>
      </w:hyperlink>
    </w:p>
    <w:bookmarkEnd w:id="148"/>
    <w:bookmarkStart w:id="150"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9">
        <w:r>
          <w:rPr>
            <w:rStyle w:val="Hyperlink"/>
          </w:rPr>
          <w:t xml:space="preserve">https://doi.org/10.1111/gcb.13208</w:t>
        </w:r>
      </w:hyperlink>
    </w:p>
    <w:bookmarkEnd w:id="150"/>
    <w:bookmarkStart w:id="151"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51"/>
    <w:bookmarkStart w:id="153"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52">
        <w:r>
          <w:rPr>
            <w:rStyle w:val="Hyperlink"/>
          </w:rPr>
          <w:t xml:space="preserve">https://doi.org/10.1016/S0065-2504(08)60158-0</w:t>
        </w:r>
      </w:hyperlink>
    </w:p>
    <w:bookmarkEnd w:id="153"/>
    <w:bookmarkStart w:id="155"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54">
        <w:r>
          <w:rPr>
            <w:rStyle w:val="Hyperlink"/>
          </w:rPr>
          <w:t xml:space="preserve">https://doi.org/10.1002/ecs2.1847</w:t>
        </w:r>
      </w:hyperlink>
    </w:p>
    <w:bookmarkEnd w:id="155"/>
    <w:bookmarkStart w:id="157"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56">
        <w:r>
          <w:rPr>
            <w:rStyle w:val="Hyperlink"/>
          </w:rPr>
          <w:t xml:space="preserve">https://doi.org/10.1007/s10584-020-02868-2</w:t>
        </w:r>
      </w:hyperlink>
    </w:p>
    <w:bookmarkEnd w:id="157"/>
    <w:bookmarkStart w:id="159"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58">
        <w:r>
          <w:rPr>
            <w:rStyle w:val="Hyperlink"/>
          </w:rPr>
          <w:t xml:space="preserve">https://doi.org/10.1007/s10021-020-00501-y</w:t>
        </w:r>
      </w:hyperlink>
    </w:p>
    <w:bookmarkEnd w:id="159"/>
    <w:bookmarkStart w:id="161"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60">
        <w:r>
          <w:rPr>
            <w:rStyle w:val="Hyperlink"/>
          </w:rPr>
          <w:t xml:space="preserve">https://doi.org/10.1073/pnas.1610156113</w:t>
        </w:r>
      </w:hyperlink>
    </w:p>
    <w:bookmarkEnd w:id="161"/>
    <w:bookmarkStart w:id="162"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62"/>
    <w:bookmarkStart w:id="164"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63">
        <w:r>
          <w:rPr>
            <w:rStyle w:val="Hyperlink"/>
          </w:rPr>
          <w:t xml:space="preserve">https://doi.org/10.2307/1937545</w:t>
        </w:r>
      </w:hyperlink>
    </w:p>
    <w:bookmarkEnd w:id="164"/>
    <w:bookmarkStart w:id="166"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65">
        <w:r>
          <w:rPr>
            <w:rStyle w:val="Hyperlink"/>
          </w:rPr>
          <w:t xml:space="preserve">https://doi.org/10.1111/gcb.12955</w:t>
        </w:r>
      </w:hyperlink>
    </w:p>
    <w:bookmarkEnd w:id="166"/>
    <w:bookmarkStart w:id="168"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7">
        <w:r>
          <w:rPr>
            <w:rStyle w:val="Hyperlink"/>
          </w:rPr>
          <w:t xml:space="preserve">https://doi.org/10.1007/s10342-016-0982-7</w:t>
        </w:r>
      </w:hyperlink>
    </w:p>
    <w:bookmarkEnd w:id="168"/>
    <w:bookmarkStart w:id="170"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9">
        <w:r>
          <w:rPr>
            <w:rStyle w:val="Hyperlink"/>
          </w:rPr>
          <w:t xml:space="preserve">https://doi.org/10.1111/gcb.14561</w:t>
        </w:r>
      </w:hyperlink>
    </w:p>
    <w:bookmarkEnd w:id="170"/>
    <w:bookmarkStart w:id="172"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71">
        <w:r>
          <w:rPr>
            <w:rStyle w:val="Hyperlink"/>
          </w:rPr>
          <w:t xml:space="preserve">https://doi.org/10.1002/joc.3711</w:t>
        </w:r>
      </w:hyperlink>
    </w:p>
    <w:bookmarkEnd w:id="172"/>
    <w:bookmarkStart w:id="174"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73">
        <w:r>
          <w:rPr>
            <w:rStyle w:val="Hyperlink"/>
          </w:rPr>
          <w:t xml:space="preserve">https://doi.org/10.1038/s41597-020-0453-3</w:t>
        </w:r>
      </w:hyperlink>
    </w:p>
    <w:bookmarkEnd w:id="174"/>
    <w:bookmarkStart w:id="17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75">
        <w:r>
          <w:rPr>
            <w:rStyle w:val="Hyperlink"/>
          </w:rPr>
          <w:t xml:space="preserve">https://doi.org/10.1111/nph.15906</w:t>
        </w:r>
      </w:hyperlink>
    </w:p>
    <w:bookmarkEnd w:id="176"/>
    <w:bookmarkStart w:id="178"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7">
        <w:r>
          <w:rPr>
            <w:rStyle w:val="Hyperlink"/>
          </w:rPr>
          <w:t xml:space="preserve">https://doi.org/10.1029/2018JG004573</w:t>
        </w:r>
      </w:hyperlink>
    </w:p>
    <w:bookmarkEnd w:id="178"/>
    <w:bookmarkStart w:id="180"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79">
        <w:r>
          <w:rPr>
            <w:rStyle w:val="Hyperlink"/>
          </w:rPr>
          <w:t xml:space="preserve">https://doi.org/10.1111/jbi.13199</w:t>
        </w:r>
      </w:hyperlink>
    </w:p>
    <w:bookmarkEnd w:id="180"/>
    <w:bookmarkStart w:id="182" w:name="ref-huckaby_identification_2003"/>
    <w:p>
      <w:pPr>
        <w:pStyle w:val="Bibliography"/>
      </w:pPr>
      <w:r>
        <w:t xml:space="preserve">Huckaby, L. S., Kaufmann, M. R., Fornwalt, P. J., Stoker, J. M., &amp; Dennis, C. (2003). Identification and ecology of old ponderosa pine trees in the</w:t>
      </w:r>
      <w:r>
        <w:t xml:space="preserve"> </w:t>
      </w:r>
      <w:r>
        <w:t xml:space="preserve">Colorado Front Range</w:t>
      </w:r>
      <w:r>
        <w:t xml:space="preserve">.</w:t>
      </w:r>
      <w:r>
        <w:t xml:space="preserve"> </w:t>
      </w:r>
      <w:r>
        <w:rPr>
          <w:iCs/>
          <w:i/>
        </w:rPr>
        <w:t xml:space="preserve">Gen. Tech. Rep. RMRS-GTR-110. Fort Collins, CO: U.S. Department of Agriculture, Forest Service, Rocky Mountain Research Station. 47 p.</w:t>
      </w:r>
      <w:r>
        <w:t xml:space="preserve">,</w:t>
      </w:r>
      <w:r>
        <w:t xml:space="preserve"> </w:t>
      </w:r>
      <w:r>
        <w:rPr>
          <w:iCs/>
          <w:i/>
        </w:rPr>
        <w:t xml:space="preserve">110</w:t>
      </w:r>
      <w:r>
        <w:t xml:space="preserve">.</w:t>
      </w:r>
      <w:r>
        <w:t xml:space="preserve"> </w:t>
      </w:r>
      <w:hyperlink r:id="rId181">
        <w:r>
          <w:rPr>
            <w:rStyle w:val="Hyperlink"/>
          </w:rPr>
          <w:t xml:space="preserve">https://doi.org/10.2737/RMRS-GTR-110</w:t>
        </w:r>
      </w:hyperlink>
    </w:p>
    <w:bookmarkEnd w:id="182"/>
    <w:bookmarkStart w:id="184"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83">
        <w:r>
          <w:rPr>
            <w:rStyle w:val="Hyperlink"/>
          </w:rPr>
          <w:t xml:space="preserve">https://doi.org/10.1088/1748-9326/abd8fb</w:t>
        </w:r>
      </w:hyperlink>
    </w:p>
    <w:bookmarkEnd w:id="184"/>
    <w:bookmarkStart w:id="18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85">
        <w:r>
          <w:rPr>
            <w:rStyle w:val="Hyperlink"/>
          </w:rPr>
          <w:t xml:space="preserve">https://doi.org/10.1038/s41467-018-07800-y</w:t>
        </w:r>
      </w:hyperlink>
    </w:p>
    <w:bookmarkEnd w:id="186"/>
    <w:bookmarkStart w:id="18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87">
        <w:r>
          <w:rPr>
            <w:rStyle w:val="Hyperlink"/>
          </w:rPr>
          <w:t xml:space="preserve">https://doi.org/10.1093/treephys/tpaa091</w:t>
        </w:r>
      </w:hyperlink>
    </w:p>
    <w:bookmarkEnd w:id="188"/>
    <w:bookmarkStart w:id="19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9">
        <w:r>
          <w:rPr>
            <w:rStyle w:val="Hyperlink"/>
          </w:rPr>
          <w:t xml:space="preserve">https://doi.org/10.1111/nph.15668</w:t>
        </w:r>
      </w:hyperlink>
    </w:p>
    <w:bookmarkEnd w:id="190"/>
    <w:bookmarkStart w:id="19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91">
        <w:r>
          <w:rPr>
            <w:rStyle w:val="Hyperlink"/>
          </w:rPr>
          <w:t xml:space="preserve">https://doi.org/10.1038/srep46158</w:t>
        </w:r>
      </w:hyperlink>
    </w:p>
    <w:bookmarkEnd w:id="192"/>
    <w:bookmarkStart w:id="19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93">
        <w:r>
          <w:rPr>
            <w:rStyle w:val="Hyperlink"/>
          </w:rPr>
          <w:t xml:space="preserve">https://doi.org/10.1016/j.dendro.2019.125652</w:t>
        </w:r>
      </w:hyperlink>
    </w:p>
    <w:bookmarkEnd w:id="194"/>
    <w:bookmarkStart w:id="196"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95">
        <w:r>
          <w:rPr>
            <w:rStyle w:val="Hyperlink"/>
          </w:rPr>
          <w:t xml:space="preserve">https://doi.org/10.1139/x89-102</w:t>
        </w:r>
      </w:hyperlink>
    </w:p>
    <w:bookmarkEnd w:id="196"/>
    <w:bookmarkStart w:id="198"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97">
        <w:r>
          <w:rPr>
            <w:rStyle w:val="Hyperlink"/>
          </w:rPr>
          <w:t xml:space="preserve">https://doi.org/10.2307/1941026</w:t>
        </w:r>
      </w:hyperlink>
    </w:p>
    <w:bookmarkEnd w:id="198"/>
    <w:bookmarkStart w:id="200"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9">
        <w:r>
          <w:rPr>
            <w:rStyle w:val="Hyperlink"/>
          </w:rPr>
          <w:t xml:space="preserve">https://doi.org/10.1016/j.foreco.2009.03.009</w:t>
        </w:r>
      </w:hyperlink>
    </w:p>
    <w:bookmarkEnd w:id="200"/>
    <w:bookmarkStart w:id="202"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201">
        <w:r>
          <w:rPr>
            <w:rStyle w:val="Hyperlink"/>
          </w:rPr>
          <w:t xml:space="preserve">https://doi.org/10.1111/gcb.14273</w:t>
        </w:r>
      </w:hyperlink>
    </w:p>
    <w:bookmarkEnd w:id="202"/>
    <w:bookmarkStart w:id="204"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203">
        <w:r>
          <w:rPr>
            <w:rStyle w:val="Hyperlink"/>
          </w:rPr>
          <w:t xml:space="preserve">https://doi.org/10.1029/2019JG005298</w:t>
        </w:r>
      </w:hyperlink>
    </w:p>
    <w:bookmarkEnd w:id="204"/>
    <w:bookmarkStart w:id="206"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205">
        <w:r>
          <w:rPr>
            <w:rStyle w:val="Hyperlink"/>
          </w:rPr>
          <w:t xml:space="preserve">https://doi.org/10.1007/s10584-016-1720-3</w:t>
        </w:r>
      </w:hyperlink>
    </w:p>
    <w:bookmarkEnd w:id="206"/>
    <w:bookmarkStart w:id="20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207">
        <w:r>
          <w:rPr>
            <w:rStyle w:val="Hyperlink"/>
          </w:rPr>
          <w:t xml:space="preserve">https://doi.org/10.1126/science.aaz9463</w:t>
        </w:r>
      </w:hyperlink>
    </w:p>
    <w:bookmarkEnd w:id="208"/>
    <w:bookmarkStart w:id="21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209">
        <w:r>
          <w:rPr>
            <w:rStyle w:val="Hyperlink"/>
          </w:rPr>
          <w:t xml:space="preserve">https://doi.org/10.1111/nph.16996</w:t>
        </w:r>
      </w:hyperlink>
    </w:p>
    <w:bookmarkEnd w:id="210"/>
    <w:bookmarkStart w:id="212"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11">
        <w:r>
          <w:rPr>
            <w:rStyle w:val="Hyperlink"/>
          </w:rPr>
          <w:t xml:space="preserve">https://doi.org/10.1111/nph.14633</w:t>
        </w:r>
      </w:hyperlink>
    </w:p>
    <w:bookmarkEnd w:id="212"/>
    <w:bookmarkStart w:id="214"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13">
        <w:r>
          <w:rPr>
            <w:rStyle w:val="Hyperlink"/>
          </w:rPr>
          <w:t xml:space="preserve">https://doi.org/10.1016/j.cageo.2011.01.013</w:t>
        </w:r>
      </w:hyperlink>
    </w:p>
    <w:bookmarkEnd w:id="214"/>
    <w:bookmarkStart w:id="215"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15"/>
    <w:bookmarkStart w:id="217"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16">
        <w:r>
          <w:rPr>
            <w:rStyle w:val="Hyperlink"/>
          </w:rPr>
          <w:t xml:space="preserve">https://doi.org/10.1111/j.1600-0587.2013.00205.x</w:t>
        </w:r>
      </w:hyperlink>
    </w:p>
    <w:bookmarkEnd w:id="217"/>
    <w:bookmarkStart w:id="21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8">
        <w:r>
          <w:rPr>
            <w:rStyle w:val="Hyperlink"/>
          </w:rPr>
          <w:t xml:space="preserve">https://doi.org/10.1111/gcb.12599</w:t>
        </w:r>
      </w:hyperlink>
    </w:p>
    <w:bookmarkEnd w:id="219"/>
    <w:bookmarkStart w:id="221"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20">
        <w:r>
          <w:rPr>
            <w:rStyle w:val="Hyperlink"/>
          </w:rPr>
          <w:t xml:space="preserve">https://doi.org/10.1017/S1464793104006499</w:t>
        </w:r>
      </w:hyperlink>
    </w:p>
    <w:bookmarkEnd w:id="221"/>
    <w:bookmarkStart w:id="223"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22">
        <w:r>
          <w:rPr>
            <w:rStyle w:val="Hyperlink"/>
          </w:rPr>
          <w:t xml:space="preserve">https://doi.org/10.1111/j.1365-2486.2010.02222.x</w:t>
        </w:r>
      </w:hyperlink>
    </w:p>
    <w:bookmarkEnd w:id="223"/>
    <w:bookmarkStart w:id="224"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24"/>
    <w:bookmarkStart w:id="226" w:name="ref-pederson_external_2010"/>
    <w:p>
      <w:pPr>
        <w:pStyle w:val="Bibliography"/>
      </w:pPr>
      <w:r>
        <w:t xml:space="preserve">Pederson, N. (2010). External</w:t>
      </w:r>
      <w:r>
        <w:t xml:space="preserve"> </w:t>
      </w:r>
      <w:r>
        <w:t xml:space="preserve">Characteristics</w:t>
      </w:r>
      <w:r>
        <w:t xml:space="preserve"> </w:t>
      </w:r>
      <w:r>
        <w:t xml:space="preserve">of</w:t>
      </w:r>
      <w:r>
        <w:t xml:space="preserve"> </w:t>
      </w:r>
      <w:r>
        <w:t xml:space="preserve">Old Trees</w:t>
      </w:r>
      <w:r>
        <w:t xml:space="preserve"> </w:t>
      </w:r>
      <w:r>
        <w:t xml:space="preserve">in the</w:t>
      </w:r>
      <w:r>
        <w:t xml:space="preserve"> </w:t>
      </w:r>
      <w:r>
        <w:t xml:space="preserve">Eastern Deciduous Forest</w:t>
      </w:r>
      <w:r>
        <w:t xml:space="preserve">.</w:t>
      </w:r>
      <w:r>
        <w:t xml:space="preserve"> </w:t>
      </w:r>
      <w:r>
        <w:rPr>
          <w:iCs/>
          <w:i/>
        </w:rPr>
        <w:t xml:space="preserve">Natural Areas Journal</w:t>
      </w:r>
      <w:r>
        <w:t xml:space="preserve">,</w:t>
      </w:r>
      <w:r>
        <w:t xml:space="preserve"> </w:t>
      </w:r>
      <w:r>
        <w:rPr>
          <w:iCs/>
          <w:i/>
        </w:rPr>
        <w:t xml:space="preserve">30</w:t>
      </w:r>
      <w:r>
        <w:t xml:space="preserve">(4), 396–407.</w:t>
      </w:r>
      <w:r>
        <w:t xml:space="preserve"> </w:t>
      </w:r>
      <w:hyperlink r:id="rId225">
        <w:r>
          <w:rPr>
            <w:rStyle w:val="Hyperlink"/>
          </w:rPr>
          <w:t xml:space="preserve">https://doi.org/10.3375/043.030.0405</w:t>
        </w:r>
      </w:hyperlink>
    </w:p>
    <w:bookmarkEnd w:id="226"/>
    <w:bookmarkStart w:id="22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27">
        <w:r>
          <w:rPr>
            <w:rStyle w:val="Hyperlink"/>
          </w:rPr>
          <w:t xml:space="preserve">https://doi.org/10.3389/ffgc.2020.00039</w:t>
        </w:r>
      </w:hyperlink>
    </w:p>
    <w:bookmarkEnd w:id="228"/>
    <w:bookmarkStart w:id="23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29">
        <w:r>
          <w:rPr>
            <w:rStyle w:val="Hyperlink"/>
          </w:rPr>
          <w:t xml:space="preserve">https://doi.org/10.1111/ele.13575</w:t>
        </w:r>
      </w:hyperlink>
    </w:p>
    <w:bookmarkEnd w:id="230"/>
    <w:bookmarkStart w:id="23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31">
        <w:r>
          <w:rPr>
            <w:rStyle w:val="Hyperlink"/>
          </w:rPr>
          <w:t xml:space="preserve">https://doi.org/10.1111/gcb.12826</w:t>
        </w:r>
      </w:hyperlink>
    </w:p>
    <w:bookmarkEnd w:id="232"/>
    <w:bookmarkStart w:id="233" w:name="ref-pinheiro_nlme_2021"/>
    <w:p>
      <w:pPr>
        <w:pStyle w:val="Bibliography"/>
      </w:pPr>
      <w:r>
        <w:t xml:space="preserve">Pinheiro, J., Bates, D., DebRoy, S., Sarkar, D., EISPACK authors, Heisterkamp, S., Van Willigen, B., Ranke, J., &amp; R-core. (2021).</w:t>
      </w:r>
      <w:r>
        <w:t xml:space="preserve"> </w:t>
      </w:r>
      <w:r>
        <w:rPr>
          <w:iCs/>
          <w:i/>
        </w:rPr>
        <w:t xml:space="preserve">Nlme:</w:t>
      </w:r>
      <w:r>
        <w:rPr>
          <w:iCs/>
          <w:i/>
        </w:rPr>
        <w:t xml:space="preserve"> </w:t>
      </w:r>
      <w:r>
        <w:rPr>
          <w:iCs/>
          <w:i/>
        </w:rPr>
        <w:t xml:space="preserve">Linear</w:t>
      </w:r>
      <w:r>
        <w:rPr>
          <w:iCs/>
          <w:i/>
        </w:rPr>
        <w:t xml:space="preserve"> </w:t>
      </w:r>
      <w:r>
        <w:rPr>
          <w:iCs/>
          <w:i/>
        </w:rPr>
        <w:t xml:space="preserve">and</w:t>
      </w:r>
      <w:r>
        <w:rPr>
          <w:iCs/>
          <w:i/>
        </w:rPr>
        <w:t xml:space="preserve"> </w:t>
      </w:r>
      <w:r>
        <w:rPr>
          <w:iCs/>
          <w:i/>
        </w:rPr>
        <w:t xml:space="preserve">Nonlinear Mixed Effects Models</w:t>
      </w:r>
      <w:r>
        <w:t xml:space="preserve">.</w:t>
      </w:r>
    </w:p>
    <w:bookmarkEnd w:id="233"/>
    <w:bookmarkStart w:id="234"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34"/>
    <w:bookmarkStart w:id="236"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35">
        <w:r>
          <w:rPr>
            <w:rStyle w:val="Hyperlink"/>
          </w:rPr>
          <w:t xml:space="preserve">https://doi.org/10.1186/s40663-018-0139-x</w:t>
        </w:r>
      </w:hyperlink>
    </w:p>
    <w:bookmarkEnd w:id="236"/>
    <w:bookmarkStart w:id="238"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37">
        <w:r>
          <w:rPr>
            <w:rStyle w:val="Hyperlink"/>
          </w:rPr>
          <w:t xml:space="preserve">https://doi.org/10.1016/j.dendro.2020.125678</w:t>
        </w:r>
      </w:hyperlink>
    </w:p>
    <w:bookmarkEnd w:id="238"/>
    <w:bookmarkStart w:id="2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39">
        <w:r>
          <w:rPr>
            <w:rStyle w:val="Hyperlink"/>
          </w:rPr>
          <w:t xml:space="preserve">https://doi.org/10.1111/2041-210X.12753</w:t>
        </w:r>
      </w:hyperlink>
    </w:p>
    <w:bookmarkEnd w:id="240"/>
    <w:bookmarkStart w:id="242"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41">
        <w:r>
          <w:rPr>
            <w:rStyle w:val="Hyperlink"/>
          </w:rPr>
          <w:t xml:space="preserve">https://doi.org/10.1002/ecy.3264</w:t>
        </w:r>
      </w:hyperlink>
    </w:p>
    <w:bookmarkEnd w:id="242"/>
    <w:bookmarkStart w:id="244"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43">
        <w:r>
          <w:rPr>
            <w:rStyle w:val="Hyperlink"/>
          </w:rPr>
          <w:t xml:space="preserve">https://doi.org/10.1111/j.1469-8137.2007.02235.x</w:t>
        </w:r>
      </w:hyperlink>
    </w:p>
    <w:bookmarkEnd w:id="244"/>
    <w:bookmarkStart w:id="24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45">
        <w:r>
          <w:rPr>
            <w:rStyle w:val="Hyperlink"/>
          </w:rPr>
          <w:t xml:space="preserve">https://doi.org/10.1016/j.foreco.2015.08.034</w:t>
        </w:r>
      </w:hyperlink>
    </w:p>
    <w:bookmarkEnd w:id="246"/>
    <w:bookmarkStart w:id="248"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47">
        <w:r>
          <w:rPr>
            <w:rStyle w:val="Hyperlink"/>
          </w:rPr>
          <w:t xml:space="preserve">https://doi.org/10.1186/s40663-018-0133-3</w:t>
        </w:r>
      </w:hyperlink>
    </w:p>
    <w:bookmarkEnd w:id="248"/>
    <w:bookmarkStart w:id="250"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49">
        <w:r>
          <w:rPr>
            <w:rStyle w:val="Hyperlink"/>
          </w:rPr>
          <w:t xml:space="preserve">https://doi.org/10.1111/gcb.14721</w:t>
        </w:r>
      </w:hyperlink>
    </w:p>
    <w:bookmarkEnd w:id="250"/>
    <w:bookmarkStart w:id="252"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51">
        <w:r>
          <w:rPr>
            <w:rStyle w:val="Hyperlink"/>
          </w:rPr>
          <w:t xml:space="preserve">https://doi.org/10.1111/1365-2435.12775</w:t>
        </w:r>
      </w:hyperlink>
    </w:p>
    <w:bookmarkEnd w:id="252"/>
    <w:bookmarkStart w:id="254"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53">
        <w:r>
          <w:rPr>
            <w:rStyle w:val="Hyperlink"/>
          </w:rPr>
          <w:t xml:space="preserve">https://doi.org/10.1002/2016JG003528</w:t>
        </w:r>
      </w:hyperlink>
    </w:p>
    <w:bookmarkEnd w:id="254"/>
    <w:bookmarkStart w:id="255"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55"/>
    <w:bookmarkStart w:id="25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56">
        <w:r>
          <w:rPr>
            <w:rStyle w:val="Hyperlink"/>
          </w:rPr>
          <w:t xml:space="preserve">https://doi.org/10.1038/nature12914</w:t>
        </w:r>
      </w:hyperlink>
    </w:p>
    <w:bookmarkEnd w:id="257"/>
    <w:bookmarkStart w:id="258"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58"/>
    <w:bookmarkStart w:id="26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59">
        <w:r>
          <w:rPr>
            <w:rStyle w:val="Hyperlink"/>
          </w:rPr>
          <w:t xml:space="preserve">https://doi.org/10.1126/science.aaw7578</w:t>
        </w:r>
      </w:hyperlink>
    </w:p>
    <w:bookmarkEnd w:id="260"/>
    <w:bookmarkStart w:id="262"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61">
        <w:r>
          <w:rPr>
            <w:rStyle w:val="Hyperlink"/>
          </w:rPr>
          <w:t xml:space="preserve">https://doi.org/10.1088/1748-9326/11/11/114007</w:t>
        </w:r>
      </w:hyperlink>
    </w:p>
    <w:bookmarkEnd w:id="262"/>
    <w:bookmarkStart w:id="264"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63">
        <w:r>
          <w:rPr>
            <w:rStyle w:val="Hyperlink"/>
          </w:rPr>
          <w:t xml:space="preserve">https://doi.org/10.1007/s11258-007-9345-2</w:t>
        </w:r>
      </w:hyperlink>
    </w:p>
    <w:bookmarkEnd w:id="264"/>
    <w:bookmarkStart w:id="266"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65">
        <w:r>
          <w:rPr>
            <w:rStyle w:val="Hyperlink"/>
          </w:rPr>
          <w:t xml:space="preserve">https://doi.org/10.1016/j.scitotenv.2020.140288</w:t>
        </w:r>
      </w:hyperlink>
    </w:p>
    <w:bookmarkEnd w:id="266"/>
    <w:bookmarkStart w:id="26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67">
        <w:r>
          <w:rPr>
            <w:rStyle w:val="Hyperlink"/>
          </w:rPr>
          <w:t xml:space="preserve">https://doi.org/10.1016/j.agrformet.2017.08.007</w:t>
        </w:r>
      </w:hyperlink>
    </w:p>
    <w:bookmarkEnd w:id="268"/>
    <w:bookmarkStart w:id="27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69">
        <w:r>
          <w:rPr>
            <w:rStyle w:val="Hyperlink"/>
          </w:rPr>
          <w:t xml:space="preserve">https://doi.org/10.1111/gcb.14120</w:t>
        </w:r>
      </w:hyperlink>
    </w:p>
    <w:bookmarkEnd w:id="270"/>
    <w:bookmarkStart w:id="272" w:name="ref-thom_impact_2017"/>
    <w:p>
      <w:pPr>
        <w:pStyle w:val="Bibliography"/>
      </w:pPr>
      <w:r>
        <w:t xml:space="preserve">Thom, D., Rammer, W., &amp; Seidl, R. (2017). The impact of future forest dynamics on climate: Interactive effects of changing vegetation and disturbance regimes.</w:t>
      </w:r>
      <w:r>
        <w:t xml:space="preserve"> </w:t>
      </w:r>
      <w:r>
        <w:rPr>
          <w:iCs/>
          <w:i/>
        </w:rPr>
        <w:t xml:space="preserve">Ecological Monographs</w:t>
      </w:r>
      <w:r>
        <w:t xml:space="preserve">,</w:t>
      </w:r>
      <w:r>
        <w:t xml:space="preserve"> </w:t>
      </w:r>
      <w:r>
        <w:rPr>
          <w:iCs/>
          <w:i/>
        </w:rPr>
        <w:t xml:space="preserve">87</w:t>
      </w:r>
      <w:r>
        <w:t xml:space="preserve">(4), 665–684.</w:t>
      </w:r>
      <w:r>
        <w:t xml:space="preserve"> </w:t>
      </w:r>
      <w:hyperlink r:id="rId271">
        <w:r>
          <w:rPr>
            <w:rStyle w:val="Hyperlink"/>
          </w:rPr>
          <w:t xml:space="preserve">https://doi.org/10.1002/ecm.1272</w:t>
        </w:r>
      </w:hyperlink>
    </w:p>
    <w:bookmarkEnd w:id="272"/>
    <w:bookmarkStart w:id="274"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73">
        <w:r>
          <w:rPr>
            <w:rStyle w:val="Hyperlink"/>
          </w:rPr>
          <w:t xml:space="preserve">https://doi.org/10.1007/978-94-007-1242-3_2</w:t>
        </w:r>
      </w:hyperlink>
    </w:p>
    <w:bookmarkEnd w:id="274"/>
    <w:bookmarkStart w:id="27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75">
        <w:r>
          <w:rPr>
            <w:rStyle w:val="Hyperlink"/>
          </w:rPr>
          <w:t xml:space="preserve">https://doi.org/10.5194/cp-9-1481-2013</w:t>
        </w:r>
      </w:hyperlink>
    </w:p>
    <w:bookmarkEnd w:id="276"/>
    <w:bookmarkStart w:id="27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77">
        <w:r>
          <w:rPr>
            <w:rStyle w:val="Hyperlink"/>
          </w:rPr>
          <w:t xml:space="preserve">https://doi.org/10.1002/joc.2117</w:t>
        </w:r>
      </w:hyperlink>
    </w:p>
    <w:bookmarkEnd w:id="278"/>
    <w:bookmarkStart w:id="280"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79">
        <w:r>
          <w:rPr>
            <w:rStyle w:val="Hyperlink"/>
          </w:rPr>
          <w:t xml:space="preserve">https://doi.org/10.1007/s00468-018-1767-z</w:t>
        </w:r>
      </w:hyperlink>
    </w:p>
    <w:bookmarkEnd w:id="280"/>
    <w:bookmarkStart w:id="28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81">
        <w:r>
          <w:rPr>
            <w:rStyle w:val="Hyperlink"/>
          </w:rPr>
          <w:t xml:space="preserve">https://doi.org/10.1016/j.agrformet.2017.07.015</w:t>
        </w:r>
      </w:hyperlink>
    </w:p>
    <w:bookmarkEnd w:id="282"/>
    <w:bookmarkStart w:id="28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83">
        <w:r>
          <w:rPr>
            <w:rStyle w:val="Hyperlink"/>
          </w:rPr>
          <w:t xml:space="preserve">https://doi.org/10.1111/2041-210X.12590</w:t>
        </w:r>
      </w:hyperlink>
    </w:p>
    <w:bookmarkEnd w:id="284"/>
    <w:bookmarkStart w:id="286"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85">
        <w:r>
          <w:rPr>
            <w:rStyle w:val="Hyperlink"/>
          </w:rPr>
          <w:t xml:space="preserve">https://doi.org/10.1038/ngeo2313</w:t>
        </w:r>
      </w:hyperlink>
    </w:p>
    <w:bookmarkEnd w:id="286"/>
    <w:bookmarkStart w:id="288"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87">
        <w:r>
          <w:rPr>
            <w:rStyle w:val="Hyperlink"/>
          </w:rPr>
          <w:t xml:space="preserve">https://doi.org/10.1007/s00442-013-2846-x</w:t>
        </w:r>
      </w:hyperlink>
    </w:p>
    <w:bookmarkEnd w:id="288"/>
    <w:bookmarkStart w:id="290"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89">
        <w:r>
          <w:rPr>
            <w:rStyle w:val="Hyperlink"/>
          </w:rPr>
          <w:t xml:space="preserve">https://doi.org/10.1890/0012-9615(2006)076[0549:HCGEDW]2.0.CO;2</w:t>
        </w:r>
      </w:hyperlink>
    </w:p>
    <w:bookmarkEnd w:id="290"/>
    <w:bookmarkStart w:id="292"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91">
        <w:r>
          <w:rPr>
            <w:rStyle w:val="Hyperlink"/>
          </w:rPr>
          <w:t xml:space="preserve">https://doi.org/10.1016/j.foreco.2009.03.007</w:t>
        </w:r>
      </w:hyperlink>
    </w:p>
    <w:bookmarkEnd w:id="292"/>
    <w:bookmarkStart w:id="29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93">
        <w:r>
          <w:rPr>
            <w:rStyle w:val="Hyperlink"/>
          </w:rPr>
          <w:t xml:space="preserve">https://doi.org/10.1111/nph.16866</w:t>
        </w:r>
      </w:hyperlink>
    </w:p>
    <w:bookmarkEnd w:id="294"/>
    <w:bookmarkStart w:id="29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95">
        <w:r>
          <w:rPr>
            <w:rStyle w:val="Hyperlink"/>
          </w:rPr>
          <w:t xml:space="preserve">https://doi.org/10.1038/nclimate1693</w:t>
        </w:r>
      </w:hyperlink>
    </w:p>
    <w:bookmarkEnd w:id="296"/>
    <w:bookmarkStart w:id="29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97">
        <w:r>
          <w:rPr>
            <w:rStyle w:val="Hyperlink"/>
          </w:rPr>
          <w:t xml:space="preserve">https://doi.org/10.1111/gcb.15057</w:t>
        </w:r>
      </w:hyperlink>
    </w:p>
    <w:bookmarkEnd w:id="298"/>
    <w:bookmarkStart w:id="300"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99">
        <w:r>
          <w:rPr>
            <w:rStyle w:val="Hyperlink"/>
          </w:rPr>
          <w:t xml:space="preserve">https://doi.org/10.1111/j.1467-9868.2010.00749.x</w:t>
        </w:r>
      </w:hyperlink>
    </w:p>
    <w:bookmarkEnd w:id="300"/>
    <w:bookmarkStart w:id="302"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301">
        <w:r>
          <w:rPr>
            <w:rStyle w:val="Hyperlink"/>
          </w:rPr>
          <w:t xml:space="preserve">https://doi.org/10.1191/095968399667128516</w:t>
        </w:r>
      </w:hyperlink>
    </w:p>
    <w:bookmarkEnd w:id="302"/>
    <w:bookmarkStart w:id="304"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303">
        <w:r>
          <w:rPr>
            <w:rStyle w:val="Hyperlink"/>
          </w:rPr>
          <w:t xml:space="preserve">https://doi.org/10.1016/j.dendro.2012.08.001</w:t>
        </w:r>
      </w:hyperlink>
    </w:p>
    <w:bookmarkEnd w:id="304"/>
    <w:bookmarkStart w:id="306"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305">
        <w:r>
          <w:rPr>
            <w:rStyle w:val="Hyperlink"/>
          </w:rPr>
          <w:t xml:space="preserve">https://doi.org/10.1111/ecog.01335</w:t>
        </w:r>
      </w:hyperlink>
    </w:p>
    <w:bookmarkEnd w:id="306"/>
    <w:bookmarkStart w:id="308"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307">
        <w:r>
          <w:rPr>
            <w:rStyle w:val="Hyperlink"/>
          </w:rPr>
          <w:t xml:space="preserve">https://doi.org/10.1111/gcb.15092</w:t>
        </w:r>
      </w:hyperlink>
    </w:p>
    <w:bookmarkEnd w:id="308"/>
    <w:bookmarkEnd w:id="309"/>
    <w:bookmarkEnd w:id="310"/>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71315dca"/>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2021-04-06T10:20:20Z</dcterms:created>
  <dcterms:modified xsi:type="dcterms:W3CDTF">2021-04-06T10:20:20Z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